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Konsekvensanalyse (DPIA)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kontakt komplai@komplai.dk for endelig version. Dette dokument er en pladsholder og må ikke videresendes til kunder eller revisorer.</w:t>
      </w:r>
    </w:p>
    <w:p>
      <w:pPr>
        <w:spacing w:after="200" w:before="800"/>
      </w:pPr>
      <w:r>
        <w:rPr>
          <w:sz w:val="24"/>
          <w:szCs w:val="24"/>
        </w:rPr>
        <w:t xml:space="preserve">DPIA-skabelon udfærdiget for kommunal sagsbehandling med komplai. Dækker formål, datakategorier, sletteregler og afbødende foranstaltninger.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Konsekvensanalyse (DPIA)</dc:title>
  <dc:creator>komplai</dc:creator>
  <cp:lastModifiedBy>Un-named</cp:lastModifiedBy>
  <cp:revision>1</cp:revision>
  <dcterms:created xsi:type="dcterms:W3CDTF">2026-05-20T13:01:49.903Z</dcterms:created>
  <dcterms:modified xsi:type="dcterms:W3CDTF">2026-05-20T13:01:49.903Z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